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A7953" w14:textId="79ED9DBA" w:rsidR="00D8798A" w:rsidRPr="00B0567A" w:rsidRDefault="00D8798A" w:rsidP="003E505F">
      <w:pPr>
        <w:pStyle w:val="Cytatintensywny"/>
        <w:spacing w:before="0" w:after="0" w:line="276" w:lineRule="auto"/>
        <w:rPr>
          <w:rStyle w:val="Wyrnienieintensywne"/>
          <w:rFonts w:ascii="Times New Roman" w:hAnsi="Times New Roman" w:cs="Times New Roman"/>
          <w:b/>
          <w:bCs/>
          <w:sz w:val="40"/>
          <w:szCs w:val="40"/>
        </w:rPr>
      </w:pPr>
      <w:r w:rsidRPr="00B0567A">
        <w:rPr>
          <w:rStyle w:val="Wyrnienieintensywne"/>
          <w:rFonts w:ascii="Times New Roman" w:hAnsi="Times New Roman" w:cs="Times New Roman"/>
          <w:b/>
          <w:bCs/>
          <w:sz w:val="40"/>
          <w:szCs w:val="40"/>
        </w:rPr>
        <w:t xml:space="preserve">Polityki ochrony dzieci przed krzywdzeniem </w:t>
      </w:r>
    </w:p>
    <w:p w14:paraId="6D9B4D33" w14:textId="77777777" w:rsidR="004442E8" w:rsidRPr="00B0567A" w:rsidRDefault="00D8798A" w:rsidP="003E505F">
      <w:pPr>
        <w:pStyle w:val="Cytatintensywny"/>
        <w:spacing w:before="0" w:after="0" w:line="276" w:lineRule="auto"/>
        <w:rPr>
          <w:rStyle w:val="Wyrnienieintensywne"/>
          <w:rFonts w:ascii="Times New Roman" w:hAnsi="Times New Roman" w:cs="Times New Roman"/>
          <w:b/>
          <w:bCs/>
          <w:sz w:val="40"/>
          <w:szCs w:val="40"/>
        </w:rPr>
      </w:pPr>
      <w:r w:rsidRPr="00B0567A">
        <w:rPr>
          <w:rStyle w:val="Wyrnienieintensywne"/>
          <w:rFonts w:ascii="Times New Roman" w:hAnsi="Times New Roman" w:cs="Times New Roman"/>
          <w:b/>
          <w:bCs/>
          <w:sz w:val="40"/>
          <w:szCs w:val="40"/>
        </w:rPr>
        <w:t xml:space="preserve">Standardy Ochrony Małoletnich </w:t>
      </w:r>
    </w:p>
    <w:p w14:paraId="561AFFBA" w14:textId="77777777" w:rsidR="004442E8" w:rsidRPr="00B0567A" w:rsidRDefault="004442E8" w:rsidP="003E505F">
      <w:pPr>
        <w:pStyle w:val="Nagwek2"/>
        <w:spacing w:line="276" w:lineRule="auto"/>
        <w:rPr>
          <w:rFonts w:ascii="Times New Roman" w:hAnsi="Times New Roman" w:cs="Times New Roman"/>
          <w:b/>
          <w:bCs/>
        </w:rPr>
      </w:pPr>
    </w:p>
    <w:p w14:paraId="030CF9A9" w14:textId="2BC8EC39" w:rsidR="003A3782" w:rsidRPr="00B0567A" w:rsidRDefault="003A3782" w:rsidP="003E505F">
      <w:pPr>
        <w:pStyle w:val="Nagwek2"/>
        <w:spacing w:line="276" w:lineRule="auto"/>
        <w:rPr>
          <w:rFonts w:ascii="Times New Roman" w:hAnsi="Times New Roman" w:cs="Times New Roman"/>
          <w:b/>
          <w:bCs/>
        </w:rPr>
      </w:pPr>
      <w:r w:rsidRPr="00B0567A">
        <w:rPr>
          <w:rFonts w:ascii="Times New Roman" w:hAnsi="Times New Roman" w:cs="Times New Roman"/>
          <w:b/>
          <w:bCs/>
        </w:rPr>
        <w:t>Wprowadzenie</w:t>
      </w:r>
    </w:p>
    <w:p w14:paraId="0B9C4142" w14:textId="5315B266" w:rsidR="00131AAB" w:rsidRPr="00B0567A" w:rsidRDefault="00CC5D79" w:rsidP="00B52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 xml:space="preserve">Z dniem 15 lutego 2024 r. wchodzą w życie przepisy </w:t>
      </w:r>
      <w:r w:rsidR="00BE7B92" w:rsidRPr="00B0567A">
        <w:rPr>
          <w:rFonts w:ascii="Times New Roman" w:hAnsi="Times New Roman" w:cs="Times New Roman"/>
        </w:rPr>
        <w:t>u</w:t>
      </w:r>
      <w:r w:rsidRPr="00B0567A">
        <w:rPr>
          <w:rFonts w:ascii="Times New Roman" w:hAnsi="Times New Roman" w:cs="Times New Roman"/>
        </w:rPr>
        <w:t xml:space="preserve">stawy z dnia 28 lipca 2023 r. o zmianie ustawy – Kodeks rodzinny i opiekuńczy oraz niektórych innych ustaw (Dz. U. z 2023 r. poz. 1606), która to </w:t>
      </w:r>
      <w:r w:rsidR="00BE7B92" w:rsidRPr="00B0567A">
        <w:rPr>
          <w:rFonts w:ascii="Times New Roman" w:hAnsi="Times New Roman" w:cs="Times New Roman"/>
        </w:rPr>
        <w:t>u</w:t>
      </w:r>
      <w:r w:rsidRPr="00B0567A">
        <w:rPr>
          <w:rFonts w:ascii="Times New Roman" w:hAnsi="Times New Roman" w:cs="Times New Roman"/>
        </w:rPr>
        <w:t xml:space="preserve">stawa zmienia dotychczasową </w:t>
      </w:r>
      <w:r w:rsidR="00BE7B92" w:rsidRPr="00B0567A">
        <w:rPr>
          <w:rFonts w:ascii="Times New Roman" w:hAnsi="Times New Roman" w:cs="Times New Roman"/>
        </w:rPr>
        <w:t>u</w:t>
      </w:r>
      <w:r w:rsidRPr="00B0567A">
        <w:rPr>
          <w:rFonts w:ascii="Times New Roman" w:hAnsi="Times New Roman" w:cs="Times New Roman"/>
        </w:rPr>
        <w:t xml:space="preserve">stawę z dnia 13 maja 2016 r. o przeciwdziałaniu zagrożeniom przestępczością na tle seksualnym, której tytuł również został zmieniony. Obecnie brzmi on </w:t>
      </w:r>
      <w:r w:rsidR="00BE7B92" w:rsidRPr="00B0567A">
        <w:rPr>
          <w:rFonts w:ascii="Times New Roman" w:hAnsi="Times New Roman" w:cs="Times New Roman"/>
        </w:rPr>
        <w:t>u</w:t>
      </w:r>
      <w:r w:rsidRPr="00B0567A">
        <w:rPr>
          <w:rFonts w:ascii="Times New Roman" w:hAnsi="Times New Roman" w:cs="Times New Roman"/>
        </w:rPr>
        <w:t>stawa o przeciwdziałaniu zagrożeniom przestępczością na tle seksualnym i ochronie małoletnich [dalej Ustawa SOM]</w:t>
      </w:r>
      <w:r w:rsidR="00DA7A1F" w:rsidRPr="00B0567A">
        <w:rPr>
          <w:rFonts w:ascii="Times New Roman" w:hAnsi="Times New Roman" w:cs="Times New Roman"/>
        </w:rPr>
        <w:t>.</w:t>
      </w:r>
      <w:r w:rsidR="00131AAB" w:rsidRPr="00B0567A">
        <w:rPr>
          <w:rFonts w:ascii="Times New Roman" w:hAnsi="Times New Roman" w:cs="Times New Roman"/>
          <w:iCs/>
        </w:rPr>
        <w:t xml:space="preserve"> Nie mniej jednak zgodnie z art. 10 ustawy z dnia 28 lipca 2023 r. o zmianie ustawy</w:t>
      </w:r>
      <w:r w:rsidR="00131AAB" w:rsidRPr="00B0567A">
        <w:rPr>
          <w:rFonts w:ascii="Times New Roman" w:hAnsi="Times New Roman" w:cs="Times New Roman"/>
          <w:i/>
          <w:iCs/>
        </w:rPr>
        <w:t xml:space="preserve"> – Kodeks rodzinny i opiekuńczy oraz niektórych innych ustaw </w:t>
      </w:r>
      <w:r w:rsidR="00131AAB" w:rsidRPr="00B0567A">
        <w:rPr>
          <w:rFonts w:ascii="Times New Roman" w:hAnsi="Times New Roman" w:cs="Times New Roman"/>
        </w:rPr>
        <w:t>(Dz. U. 2023 poz. 1606, z późn.zm), podmioty, o których mowa w art. 22b ust. 1 oraz art. 22c ust. 3 ustawy z dnia 13 maja 2016 r. o przeciwdziałaniu zagrożeniom przestępczością na tle seksualnym                                  (Dz. U. z 2023 r. poz. 1304, z późn.zm</w:t>
      </w:r>
      <w:r w:rsidR="00BE7B92" w:rsidRPr="00B0567A">
        <w:rPr>
          <w:rFonts w:ascii="Times New Roman" w:hAnsi="Times New Roman" w:cs="Times New Roman"/>
        </w:rPr>
        <w:t>.</w:t>
      </w:r>
      <w:r w:rsidR="00131AAB" w:rsidRPr="00B0567A">
        <w:rPr>
          <w:rFonts w:ascii="Times New Roman" w:hAnsi="Times New Roman" w:cs="Times New Roman"/>
        </w:rPr>
        <w:t>) mają obowiązek wprowadzenia standardów ochrony małoletnich w terminie 6 miesięcy od dnia wejścia w życie niniejszej ustawy.</w:t>
      </w:r>
      <w:r w:rsidR="00A67C78" w:rsidRPr="00B0567A">
        <w:rPr>
          <w:rFonts w:ascii="Times New Roman" w:hAnsi="Times New Roman" w:cs="Times New Roman"/>
        </w:rPr>
        <w:t xml:space="preserve"> </w:t>
      </w:r>
      <w:r w:rsidR="00131AAB" w:rsidRPr="00B0567A">
        <w:rPr>
          <w:rFonts w:ascii="Times New Roman" w:hAnsi="Times New Roman" w:cs="Times New Roman"/>
        </w:rPr>
        <w:t xml:space="preserve">Powyższe oznacza, że wdrażanie tychże standardów powinno zakończyć się </w:t>
      </w:r>
      <w:r w:rsidR="00131AAB" w:rsidRPr="00B0567A">
        <w:rPr>
          <w:rFonts w:ascii="Times New Roman" w:hAnsi="Times New Roman" w:cs="Times New Roman"/>
          <w:b/>
          <w:bCs/>
        </w:rPr>
        <w:t>do 15 sierpnia</w:t>
      </w:r>
      <w:r w:rsidR="00B523FE" w:rsidRPr="00B0567A">
        <w:rPr>
          <w:rFonts w:ascii="Times New Roman" w:hAnsi="Times New Roman" w:cs="Times New Roman"/>
        </w:rPr>
        <w:t xml:space="preserve"> </w:t>
      </w:r>
      <w:r w:rsidR="00131AAB" w:rsidRPr="00B0567A">
        <w:rPr>
          <w:rFonts w:ascii="Times New Roman" w:hAnsi="Times New Roman" w:cs="Times New Roman"/>
          <w:b/>
          <w:bCs/>
        </w:rPr>
        <w:t>2024 r.</w:t>
      </w:r>
    </w:p>
    <w:p w14:paraId="421FD982" w14:textId="42626AE5" w:rsidR="00CC5D79" w:rsidRPr="00B0567A" w:rsidRDefault="00CC5D79" w:rsidP="003E505F">
      <w:pPr>
        <w:spacing w:line="276" w:lineRule="auto"/>
        <w:jc w:val="both"/>
        <w:rPr>
          <w:rFonts w:ascii="Times New Roman" w:hAnsi="Times New Roman" w:cs="Times New Roman"/>
        </w:rPr>
      </w:pPr>
    </w:p>
    <w:p w14:paraId="54C3F012" w14:textId="5F9F2B96" w:rsidR="003A3782" w:rsidRPr="00B0567A" w:rsidRDefault="003A3782" w:rsidP="003E505F">
      <w:pPr>
        <w:pStyle w:val="Nagwek2"/>
        <w:spacing w:line="276" w:lineRule="auto"/>
        <w:rPr>
          <w:rFonts w:ascii="Times New Roman" w:hAnsi="Times New Roman" w:cs="Times New Roman"/>
          <w:b/>
          <w:bCs/>
        </w:rPr>
      </w:pPr>
      <w:r w:rsidRPr="00B0567A">
        <w:rPr>
          <w:rFonts w:ascii="Times New Roman" w:hAnsi="Times New Roman" w:cs="Times New Roman"/>
          <w:b/>
          <w:bCs/>
        </w:rPr>
        <w:t>Podstawa prawna</w:t>
      </w:r>
    </w:p>
    <w:p w14:paraId="5AE82EDC" w14:textId="344A48CA" w:rsidR="00CC5D79" w:rsidRPr="00B0567A" w:rsidRDefault="00CC5D79" w:rsidP="003E505F">
      <w:pPr>
        <w:spacing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Ustawa SOM określa szczególne środki ochrony przeciwdziałające zagrożeniom przestępczością na tle seksualnym i szczególne środki ochrony małoletnich.</w:t>
      </w:r>
      <w:r w:rsidR="003A3782" w:rsidRPr="00B0567A">
        <w:rPr>
          <w:rFonts w:ascii="Times New Roman" w:hAnsi="Times New Roman" w:cs="Times New Roman"/>
        </w:rPr>
        <w:t xml:space="preserve"> </w:t>
      </w:r>
    </w:p>
    <w:p w14:paraId="644C50F3" w14:textId="117911E4" w:rsidR="003A3782" w:rsidRPr="00B0567A" w:rsidRDefault="00475F1C" w:rsidP="003E505F">
      <w:pPr>
        <w:pStyle w:val="Nagwek2"/>
        <w:spacing w:line="276" w:lineRule="auto"/>
        <w:rPr>
          <w:rFonts w:ascii="Times New Roman" w:hAnsi="Times New Roman" w:cs="Times New Roman"/>
          <w:b/>
          <w:bCs/>
        </w:rPr>
      </w:pPr>
      <w:r w:rsidRPr="00B0567A">
        <w:rPr>
          <w:rFonts w:ascii="Times New Roman" w:hAnsi="Times New Roman" w:cs="Times New Roman"/>
          <w:b/>
          <w:bCs/>
        </w:rPr>
        <w:t xml:space="preserve">Szczególne środki ochrony </w:t>
      </w:r>
      <w:r w:rsidR="00BE7B92" w:rsidRPr="00B0567A">
        <w:rPr>
          <w:rFonts w:ascii="Times New Roman" w:hAnsi="Times New Roman" w:cs="Times New Roman"/>
          <w:b/>
          <w:bCs/>
        </w:rPr>
        <w:t xml:space="preserve"> </w:t>
      </w:r>
      <w:r w:rsidRPr="00B0567A">
        <w:rPr>
          <w:rFonts w:ascii="Times New Roman" w:hAnsi="Times New Roman" w:cs="Times New Roman"/>
          <w:b/>
          <w:bCs/>
        </w:rPr>
        <w:t>- podział</w:t>
      </w:r>
    </w:p>
    <w:p w14:paraId="59AB5A18" w14:textId="0E53D962" w:rsidR="00CC5D79" w:rsidRPr="00B0567A" w:rsidRDefault="00CC5D79" w:rsidP="003E505F">
      <w:pPr>
        <w:spacing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  <w:b/>
          <w:bCs/>
        </w:rPr>
        <w:t>Szczególnymi środkami ochrony przeciwdziałającymi zagrożeniom</w:t>
      </w:r>
      <w:r w:rsidRPr="00B0567A">
        <w:rPr>
          <w:rFonts w:ascii="Times New Roman" w:hAnsi="Times New Roman" w:cs="Times New Roman"/>
        </w:rPr>
        <w:t xml:space="preserve"> przestępczością na tle seksualnym,</w:t>
      </w:r>
      <w:r w:rsidR="00BE7B92" w:rsidRPr="00B0567A">
        <w:rPr>
          <w:rFonts w:ascii="Times New Roman" w:hAnsi="Times New Roman" w:cs="Times New Roman"/>
        </w:rPr>
        <w:t xml:space="preserve"> są:</w:t>
      </w:r>
      <w:r w:rsidRPr="00B0567A">
        <w:rPr>
          <w:rFonts w:ascii="Times New Roman" w:hAnsi="Times New Roman" w:cs="Times New Roman"/>
        </w:rPr>
        <w:t xml:space="preserve"> </w:t>
      </w:r>
    </w:p>
    <w:p w14:paraId="415194B6" w14:textId="77777777" w:rsidR="00CC5D79" w:rsidRPr="00B0567A" w:rsidRDefault="00CC5D79" w:rsidP="003E50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Rejestr Sprawców Przestępstw na Tle Seksualnym;</w:t>
      </w:r>
    </w:p>
    <w:p w14:paraId="05E0A5FC" w14:textId="77777777" w:rsidR="00CC5D79" w:rsidRPr="00B0567A" w:rsidRDefault="00CC5D79" w:rsidP="003E50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obowiązki pracodawców i innych organizatorów w zakresie działalności związanej z wychowaniem, edukacją, wypoczynkiem, leczeniem, świadczeniem porad psychologicznych, rozwojem duchowym, uprawianiem sportu lub realizacją innych zainteresowań przez małoletnich, lub z opieką nad nimi oraz pracowników i innych osób dopuszczanych do takiej działalności;</w:t>
      </w:r>
    </w:p>
    <w:p w14:paraId="3EAF53E4" w14:textId="2FA27148" w:rsidR="00CC5D79" w:rsidRPr="00B0567A" w:rsidRDefault="00CC5D79" w:rsidP="003E50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określenie miejsc szczególnego zagrożenia przestępczością na tle seksualnym.</w:t>
      </w:r>
    </w:p>
    <w:p w14:paraId="09550139" w14:textId="687D17A0" w:rsidR="00CC5D79" w:rsidRPr="00B0567A" w:rsidRDefault="00CC5D79" w:rsidP="003E505F">
      <w:pPr>
        <w:spacing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  <w:b/>
          <w:bCs/>
        </w:rPr>
        <w:t>Szczególnymi środkami ochrony</w:t>
      </w:r>
      <w:r w:rsidRPr="00B0567A">
        <w:rPr>
          <w:rFonts w:ascii="Times New Roman" w:hAnsi="Times New Roman" w:cs="Times New Roman"/>
        </w:rPr>
        <w:t xml:space="preserve"> małoletnich, są:</w:t>
      </w:r>
    </w:p>
    <w:p w14:paraId="6B5AE430" w14:textId="0269DB82" w:rsidR="00CC5D79" w:rsidRPr="00B0567A" w:rsidRDefault="00CC5D79" w:rsidP="003E50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ocena prawdopodobieństwa ponownego popełnienia przestępstwa przeciwko wolności seksualnej i</w:t>
      </w:r>
      <w:r w:rsidR="00BE7B92" w:rsidRPr="00B0567A">
        <w:rPr>
          <w:rFonts w:ascii="Times New Roman" w:hAnsi="Times New Roman" w:cs="Times New Roman"/>
        </w:rPr>
        <w:t> </w:t>
      </w:r>
      <w:r w:rsidRPr="00B0567A">
        <w:rPr>
          <w:rFonts w:ascii="Times New Roman" w:hAnsi="Times New Roman" w:cs="Times New Roman"/>
        </w:rPr>
        <w:t>obyczajności na szkodę małoletniego;</w:t>
      </w:r>
    </w:p>
    <w:p w14:paraId="7E7A683F" w14:textId="2CC134C0" w:rsidR="00CC5D79" w:rsidRPr="00B0567A" w:rsidRDefault="00CC5D79" w:rsidP="003E50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0567A">
        <w:rPr>
          <w:rFonts w:ascii="Times New Roman" w:hAnsi="Times New Roman" w:cs="Times New Roman"/>
          <w:b/>
          <w:bCs/>
        </w:rPr>
        <w:t xml:space="preserve">standardy ochrony małoletnich; </w:t>
      </w:r>
      <w:r w:rsidR="005D2F2E" w:rsidRPr="00B0567A">
        <w:rPr>
          <w:rFonts w:ascii="Times New Roman" w:hAnsi="Times New Roman" w:cs="Times New Roman"/>
          <w:b/>
          <w:bCs/>
        </w:rPr>
        <w:tab/>
      </w:r>
    </w:p>
    <w:p w14:paraId="4840BE59" w14:textId="38FE43F4" w:rsidR="00CC5D79" w:rsidRPr="00B0567A" w:rsidRDefault="00CC5D79" w:rsidP="003E50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analiza zdarzeń, w wyniku których małoletni na skutek działania rodzica albo opiekuna prawnego lub faktycznego poniósł śmierć lub doznał ciężkiego uszczerbku na zdrowiu;</w:t>
      </w:r>
    </w:p>
    <w:p w14:paraId="13298653" w14:textId="77777777" w:rsidR="00CC5D79" w:rsidRPr="00B0567A" w:rsidRDefault="00CC5D79" w:rsidP="003E50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 xml:space="preserve">Krajowy Plan Przeciwdziałania Przemocy na Szkodę Małoletnich oraz Krajowy Plan Przeciwdziałania Przestępstwom Przeciwko Wolności Seksualnej i Obyczajności na Szkodę Małoletnich; </w:t>
      </w:r>
    </w:p>
    <w:p w14:paraId="27EA780F" w14:textId="70D16EBB" w:rsidR="00CC5D79" w:rsidRPr="00B0567A" w:rsidRDefault="00CC5D79" w:rsidP="003E50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kontrola wykonywania obowiązków, o których mowa w art. 21 oraz art. 22b</w:t>
      </w:r>
      <w:r w:rsidR="00BE7B92" w:rsidRPr="00B0567A">
        <w:rPr>
          <w:rFonts w:ascii="Times New Roman" w:hAnsi="Times New Roman" w:cs="Times New Roman"/>
        </w:rPr>
        <w:t xml:space="preserve"> ustawy SOM</w:t>
      </w:r>
      <w:r w:rsidRPr="00B0567A">
        <w:rPr>
          <w:rFonts w:ascii="Times New Roman" w:hAnsi="Times New Roman" w:cs="Times New Roman"/>
        </w:rPr>
        <w:t>.</w:t>
      </w:r>
    </w:p>
    <w:p w14:paraId="5AFA01E9" w14:textId="33FCED53" w:rsidR="003A3782" w:rsidRPr="00B0567A" w:rsidRDefault="003A3782" w:rsidP="003E505F">
      <w:pPr>
        <w:pStyle w:val="Nagwek2"/>
        <w:spacing w:line="276" w:lineRule="auto"/>
        <w:rPr>
          <w:rFonts w:ascii="Times New Roman" w:hAnsi="Times New Roman" w:cs="Times New Roman"/>
          <w:b/>
          <w:bCs/>
        </w:rPr>
      </w:pPr>
      <w:r w:rsidRPr="00B0567A">
        <w:rPr>
          <w:rFonts w:ascii="Times New Roman" w:hAnsi="Times New Roman" w:cs="Times New Roman"/>
          <w:b/>
          <w:bCs/>
        </w:rPr>
        <w:t>Standardy Ochrony Małoletnich</w:t>
      </w:r>
    </w:p>
    <w:p w14:paraId="7BF42085" w14:textId="5F907A23" w:rsidR="003A3782" w:rsidRPr="00B0567A" w:rsidRDefault="003A3782" w:rsidP="003E505F">
      <w:pPr>
        <w:spacing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Ustawodawca uzupełnił treść Ustawy SOM o zapisy, m.in. Rozdziału 4b, który nosi tytuł „Standardy ochrony małoletnich”.</w:t>
      </w:r>
    </w:p>
    <w:p w14:paraId="56F76769" w14:textId="39233658" w:rsidR="004442E8" w:rsidRPr="00B0567A" w:rsidRDefault="004442E8" w:rsidP="003E505F">
      <w:pPr>
        <w:pStyle w:val="Nagwek2"/>
        <w:spacing w:line="276" w:lineRule="auto"/>
        <w:rPr>
          <w:rFonts w:ascii="Times New Roman" w:hAnsi="Times New Roman" w:cs="Times New Roman"/>
          <w:b/>
          <w:bCs/>
        </w:rPr>
      </w:pPr>
      <w:r w:rsidRPr="00B0567A">
        <w:rPr>
          <w:rFonts w:ascii="Times New Roman" w:hAnsi="Times New Roman" w:cs="Times New Roman"/>
          <w:b/>
          <w:bCs/>
        </w:rPr>
        <w:lastRenderedPageBreak/>
        <w:t>Obowiązek wprowadzenia Standardów Ochrony Małoletnich</w:t>
      </w:r>
      <w:r w:rsidR="003E505F" w:rsidRPr="00B0567A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</w:p>
    <w:p w14:paraId="10D39966" w14:textId="0DD0B74A" w:rsidR="004442E8" w:rsidRPr="00B0567A" w:rsidRDefault="00090B00" w:rsidP="003E505F">
      <w:pPr>
        <w:spacing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Zgodnie z art. 22b Ustawy SOM o</w:t>
      </w:r>
      <w:r w:rsidR="004442E8" w:rsidRPr="00B0567A">
        <w:rPr>
          <w:rFonts w:ascii="Times New Roman" w:hAnsi="Times New Roman" w:cs="Times New Roman"/>
        </w:rPr>
        <w:t>bowiązek wprowadzenia standardów ochrony małoletnich ma każdy:</w:t>
      </w:r>
    </w:p>
    <w:p w14:paraId="30252795" w14:textId="3F17E0F5" w:rsidR="004442E8" w:rsidRPr="00B0567A" w:rsidRDefault="004442E8" w:rsidP="003E505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 xml:space="preserve">dyrektor szkoły lub placówki, o której mowa w art. 2 pkt 1 – 8 </w:t>
      </w:r>
      <w:r w:rsidR="00FD009B" w:rsidRPr="00B0567A">
        <w:rPr>
          <w:rFonts w:ascii="Times New Roman" w:hAnsi="Times New Roman" w:cs="Times New Roman"/>
        </w:rPr>
        <w:t>u</w:t>
      </w:r>
      <w:r w:rsidRPr="00B0567A">
        <w:rPr>
          <w:rFonts w:ascii="Times New Roman" w:hAnsi="Times New Roman" w:cs="Times New Roman"/>
        </w:rPr>
        <w:t>stawy z dnia 14 grudnia 2016 r. Prawo oświatowe;</w:t>
      </w:r>
    </w:p>
    <w:p w14:paraId="57493BB7" w14:textId="453EFC21" w:rsidR="004442E8" w:rsidRPr="00B0567A" w:rsidRDefault="004442E8" w:rsidP="003E505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  <w:b/>
          <w:bCs/>
        </w:rPr>
        <w:t>organ zarządzający</w:t>
      </w:r>
      <w:r w:rsidR="00422266" w:rsidRPr="00B0567A">
        <w:rPr>
          <w:rFonts w:ascii="Times New Roman" w:hAnsi="Times New Roman" w:cs="Times New Roman"/>
          <w:b/>
          <w:bCs/>
        </w:rPr>
        <w:t xml:space="preserve"> </w:t>
      </w:r>
      <w:r w:rsidRPr="00B0567A">
        <w:rPr>
          <w:rFonts w:ascii="Times New Roman" w:hAnsi="Times New Roman" w:cs="Times New Roman"/>
        </w:rPr>
        <w:t xml:space="preserve">inną </w:t>
      </w:r>
      <w:r w:rsidRPr="00B0567A">
        <w:rPr>
          <w:rFonts w:ascii="Times New Roman" w:hAnsi="Times New Roman" w:cs="Times New Roman"/>
          <w:b/>
          <w:bCs/>
        </w:rPr>
        <w:t>placówką</w:t>
      </w:r>
      <w:r w:rsidRPr="00B0567A">
        <w:rPr>
          <w:rFonts w:ascii="Times New Roman" w:hAnsi="Times New Roman" w:cs="Times New Roman"/>
        </w:rPr>
        <w:t xml:space="preserve"> oświatową, opiekuńczą, wychowawczą, resocjalizacyjną, religijną, artystyczną, </w:t>
      </w:r>
      <w:r w:rsidRPr="00B0567A">
        <w:rPr>
          <w:rFonts w:ascii="Times New Roman" w:hAnsi="Times New Roman" w:cs="Times New Roman"/>
          <w:b/>
          <w:bCs/>
        </w:rPr>
        <w:t>medyczną</w:t>
      </w:r>
      <w:r w:rsidRPr="00B0567A">
        <w:rPr>
          <w:rFonts w:ascii="Times New Roman" w:hAnsi="Times New Roman" w:cs="Times New Roman"/>
        </w:rPr>
        <w:t xml:space="preserve">, rekreacyjną, sportową lub związaną z rozwijaniem zainteresowań, do której uczęszczają albo w której przebywają lub mogą przebywać małoletni; </w:t>
      </w:r>
    </w:p>
    <w:p w14:paraId="26AC747F" w14:textId="6B6BF8E9" w:rsidR="004442E8" w:rsidRPr="00B0567A" w:rsidRDefault="004442E8" w:rsidP="003E505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  <w:b/>
          <w:bCs/>
        </w:rPr>
        <w:t>organizator działalności</w:t>
      </w:r>
      <w:r w:rsidRPr="00B0567A">
        <w:rPr>
          <w:rFonts w:ascii="Times New Roman" w:hAnsi="Times New Roman" w:cs="Times New Roman"/>
        </w:rPr>
        <w:t xml:space="preserve"> oświatowej, opiekuńczej, wychowawczej, resocjalizacyjnej, religijnej, artystycznej, </w:t>
      </w:r>
      <w:r w:rsidRPr="00B0567A">
        <w:rPr>
          <w:rFonts w:ascii="Times New Roman" w:hAnsi="Times New Roman" w:cs="Times New Roman"/>
          <w:b/>
          <w:bCs/>
        </w:rPr>
        <w:t>medycznej</w:t>
      </w:r>
      <w:r w:rsidRPr="00B0567A">
        <w:rPr>
          <w:rFonts w:ascii="Times New Roman" w:hAnsi="Times New Roman" w:cs="Times New Roman"/>
        </w:rPr>
        <w:t>, rekreacyjnej, sportowej lub związanej z rozwijaniem zainteresowań przez małoletnich.</w:t>
      </w:r>
    </w:p>
    <w:p w14:paraId="70D433BB" w14:textId="41388505" w:rsidR="00090B00" w:rsidRPr="00B0567A" w:rsidRDefault="00090B00" w:rsidP="003E505F">
      <w:pPr>
        <w:pStyle w:val="Nagwek2"/>
        <w:spacing w:line="276" w:lineRule="auto"/>
        <w:rPr>
          <w:rFonts w:ascii="Times New Roman" w:hAnsi="Times New Roman" w:cs="Times New Roman"/>
          <w:b/>
          <w:bCs/>
        </w:rPr>
      </w:pPr>
      <w:r w:rsidRPr="00B0567A">
        <w:rPr>
          <w:rFonts w:ascii="Times New Roman" w:hAnsi="Times New Roman" w:cs="Times New Roman"/>
          <w:b/>
          <w:bCs/>
        </w:rPr>
        <w:t>Treść Polityki ochrony dzieci przed krzywdzeniem</w:t>
      </w:r>
    </w:p>
    <w:p w14:paraId="3F8A3D79" w14:textId="79C12058" w:rsidR="00090B00" w:rsidRPr="00B0567A" w:rsidRDefault="00090B00" w:rsidP="003E50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Zgodnie z art. 22c Ustawy SOM, w Standardach Ochrony Małoletnich – dokument ten nazywamy na potrzebę niniejszego opracowania Polityką ochrony dzieci przed krzywdzeniem - w sposób dostosowany do charakteru i rodzaju podmiotu lub działalności, określić należy w szczególności nw. zagadnienia:</w:t>
      </w:r>
    </w:p>
    <w:p w14:paraId="2CFFD8A2" w14:textId="5A1BAA0B" w:rsidR="00090B00" w:rsidRPr="00B0567A" w:rsidRDefault="00090B00" w:rsidP="003E505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zasady zapewniające bezpieczne relacje między małoletnim a personelem jednostki, placówki lub organizatora, a w szczególności zachowania niedozwolone wobec małoletnich;</w:t>
      </w:r>
    </w:p>
    <w:p w14:paraId="5801E3E3" w14:textId="792DA996" w:rsidR="00090B00" w:rsidRPr="00B0567A" w:rsidRDefault="00090B00" w:rsidP="003E505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zasady i procedurę podejmowania interwencji w sytuacji podejrzenia krzywdzenia lub posiadania informacji o krzywdzeniu małoletniego;</w:t>
      </w:r>
    </w:p>
    <w:p w14:paraId="4E333FD5" w14:textId="68C1ED18" w:rsidR="00090B00" w:rsidRPr="00B0567A" w:rsidRDefault="00090B00" w:rsidP="003E505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Karty”;</w:t>
      </w:r>
    </w:p>
    <w:p w14:paraId="5B030D46" w14:textId="268EF953" w:rsidR="00090B00" w:rsidRPr="00B0567A" w:rsidRDefault="00090B00" w:rsidP="003E505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zasady przeglądu i aktualizacji standardów;</w:t>
      </w:r>
    </w:p>
    <w:p w14:paraId="564B4CC4" w14:textId="655EE5A7" w:rsidR="00090B00" w:rsidRPr="00B0567A" w:rsidRDefault="00090B00" w:rsidP="003E505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zakres kompetencji osoby odpowiedzialnej za przygotowanie personelu jednostki, placówki lub organizatora do stosowania standardów, zasady przygotowania tego personelu do ich stosowania oraz sposób dokumentowania tej czynności;</w:t>
      </w:r>
    </w:p>
    <w:p w14:paraId="4CC1F9E3" w14:textId="00E3DE6F" w:rsidR="00090B00" w:rsidRPr="00B0567A" w:rsidRDefault="00090B00" w:rsidP="003E505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zasady i sposób udostępniania rodzicom albo opiekunom prawnym lub faktycznym oraz małoletnim standardów do zaznajomienia się z nimi i ich stosowania;</w:t>
      </w:r>
    </w:p>
    <w:p w14:paraId="32A18D13" w14:textId="6DA749FD" w:rsidR="00090B00" w:rsidRPr="00B0567A" w:rsidRDefault="00090B00" w:rsidP="003E505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osoby odpowiedzialne za przyjmowanie zgłoszeń o zdarzeniach zagrażających małoletniemu i udzielenie mu wsparcia;</w:t>
      </w:r>
    </w:p>
    <w:p w14:paraId="7AADE37F" w14:textId="1A126D1B" w:rsidR="00090B00" w:rsidRPr="00B0567A" w:rsidRDefault="00090B00" w:rsidP="003E505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sposób dokumentowania i zasady przechowywania ujawnionych lub zgłoszonych incydentów lub zdarzeń zagrażających dobru małoletniego.</w:t>
      </w:r>
    </w:p>
    <w:p w14:paraId="7E28253F" w14:textId="77777777" w:rsidR="00B8087C" w:rsidRPr="00B0567A" w:rsidRDefault="00B8087C" w:rsidP="003E505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E39EA4" w14:textId="2CA344D5" w:rsidR="00FD009B" w:rsidRPr="00B0567A" w:rsidRDefault="00090B00" w:rsidP="003E50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Zgodnie z art. 22</w:t>
      </w:r>
      <w:r w:rsidR="00A9038B" w:rsidRPr="00B0567A">
        <w:rPr>
          <w:rFonts w:ascii="Times New Roman" w:hAnsi="Times New Roman" w:cs="Times New Roman"/>
        </w:rPr>
        <w:t>c ust. 2</w:t>
      </w:r>
      <w:r w:rsidRPr="00B0567A">
        <w:rPr>
          <w:rFonts w:ascii="Times New Roman" w:hAnsi="Times New Roman" w:cs="Times New Roman"/>
        </w:rPr>
        <w:t xml:space="preserve"> </w:t>
      </w:r>
      <w:r w:rsidR="00FD009B" w:rsidRPr="00B0567A">
        <w:rPr>
          <w:rFonts w:ascii="Times New Roman" w:hAnsi="Times New Roman" w:cs="Times New Roman"/>
        </w:rPr>
        <w:t>u</w:t>
      </w:r>
      <w:r w:rsidRPr="00B0567A">
        <w:rPr>
          <w:rFonts w:ascii="Times New Roman" w:hAnsi="Times New Roman" w:cs="Times New Roman"/>
        </w:rPr>
        <w:t xml:space="preserve">stawy SOM </w:t>
      </w:r>
      <w:r w:rsidR="00A9038B" w:rsidRPr="00B0567A">
        <w:rPr>
          <w:rFonts w:ascii="Times New Roman" w:hAnsi="Times New Roman" w:cs="Times New Roman"/>
        </w:rPr>
        <w:t xml:space="preserve">w placówkach lub w miejscach prowadzenia działalności, o jakiej mowa w </w:t>
      </w:r>
      <w:r w:rsidRPr="00B0567A">
        <w:rPr>
          <w:rFonts w:ascii="Times New Roman" w:hAnsi="Times New Roman" w:cs="Times New Roman"/>
        </w:rPr>
        <w:t>art. 22b</w:t>
      </w:r>
      <w:r w:rsidR="00A9038B" w:rsidRPr="00B0567A">
        <w:rPr>
          <w:rFonts w:ascii="Times New Roman" w:hAnsi="Times New Roman" w:cs="Times New Roman"/>
        </w:rPr>
        <w:t xml:space="preserve"> </w:t>
      </w:r>
      <w:r w:rsidR="00FD009B" w:rsidRPr="00B0567A">
        <w:rPr>
          <w:rFonts w:ascii="Times New Roman" w:hAnsi="Times New Roman" w:cs="Times New Roman"/>
        </w:rPr>
        <w:t>u</w:t>
      </w:r>
      <w:r w:rsidR="00A9038B" w:rsidRPr="00B0567A">
        <w:rPr>
          <w:rFonts w:ascii="Times New Roman" w:hAnsi="Times New Roman" w:cs="Times New Roman"/>
        </w:rPr>
        <w:t>stawy SOM</w:t>
      </w:r>
      <w:r w:rsidRPr="00B0567A">
        <w:rPr>
          <w:rFonts w:ascii="Times New Roman" w:hAnsi="Times New Roman" w:cs="Times New Roman"/>
        </w:rPr>
        <w:t xml:space="preserve">, należy określić </w:t>
      </w:r>
      <w:r w:rsidR="00A9038B" w:rsidRPr="00B0567A">
        <w:rPr>
          <w:rFonts w:ascii="Times New Roman" w:hAnsi="Times New Roman" w:cs="Times New Roman"/>
        </w:rPr>
        <w:t>ponadto</w:t>
      </w:r>
      <w:r w:rsidRPr="00B0567A">
        <w:rPr>
          <w:rFonts w:ascii="Times New Roman" w:hAnsi="Times New Roman" w:cs="Times New Roman"/>
        </w:rPr>
        <w:t>:</w:t>
      </w:r>
    </w:p>
    <w:p w14:paraId="668ED014" w14:textId="77777777" w:rsidR="00090B00" w:rsidRPr="00B0567A" w:rsidRDefault="00090B00" w:rsidP="003E505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F86615" w14:textId="7E6E955B" w:rsidR="00090B00" w:rsidRPr="00B0567A" w:rsidRDefault="00090B00" w:rsidP="003E505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wymogi dotyczące bezpiecznych relacji między małoletnimi, a w szczególności zachowania niedozwolone;</w:t>
      </w:r>
    </w:p>
    <w:p w14:paraId="78712D02" w14:textId="3A21D53E" w:rsidR="00090B00" w:rsidRPr="00B0567A" w:rsidRDefault="00090B00" w:rsidP="003E505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lastRenderedPageBreak/>
        <w:t>zasady korzystania z urządzeń elektronicznych z dostępem do sieci Internet;</w:t>
      </w:r>
    </w:p>
    <w:p w14:paraId="1BDDDC24" w14:textId="49A62C3A" w:rsidR="00090B00" w:rsidRPr="00B0567A" w:rsidRDefault="00090B00" w:rsidP="003E505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procedury ochrony dzieci przed treściami szkodliwymi i zagrożeniami w sieci Internet oraz utrwalonymi w innej formie;</w:t>
      </w:r>
    </w:p>
    <w:p w14:paraId="1E3E6221" w14:textId="0AFDF0B7" w:rsidR="00090B00" w:rsidRPr="00B0567A" w:rsidRDefault="00090B00" w:rsidP="003E505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zasady ustalania planu wsparcia małoletniego po ujawnieniu krzywdzenia.</w:t>
      </w:r>
    </w:p>
    <w:p w14:paraId="2353D22E" w14:textId="77777777" w:rsidR="00A9038B" w:rsidRPr="00B0567A" w:rsidRDefault="00A9038B" w:rsidP="003E505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0AF274" w14:textId="1BF5CF2F" w:rsidR="003E505F" w:rsidRPr="00B0567A" w:rsidRDefault="003E505F" w:rsidP="003E505F">
      <w:pPr>
        <w:pStyle w:val="Nagwek2"/>
        <w:rPr>
          <w:rFonts w:ascii="Times New Roman" w:hAnsi="Times New Roman" w:cs="Times New Roman"/>
          <w:b/>
          <w:bCs/>
        </w:rPr>
      </w:pPr>
      <w:r w:rsidRPr="00B0567A">
        <w:rPr>
          <w:rFonts w:ascii="Times New Roman" w:hAnsi="Times New Roman" w:cs="Times New Roman"/>
          <w:b/>
          <w:bCs/>
        </w:rPr>
        <w:t>Treść dostosowania do sytuacji i potrzeb małoletnich</w:t>
      </w:r>
    </w:p>
    <w:p w14:paraId="1ECD6195" w14:textId="453E6380" w:rsidR="00A9038B" w:rsidRPr="00B0567A" w:rsidRDefault="00CA2EBF" w:rsidP="003E50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>Opracowując Politykę ochrony dzieci przed krzywdzeniem –</w:t>
      </w:r>
      <w:r w:rsidR="00730F28">
        <w:rPr>
          <w:rFonts w:ascii="Times New Roman" w:hAnsi="Times New Roman" w:cs="Times New Roman"/>
        </w:rPr>
        <w:t xml:space="preserve"> </w:t>
      </w:r>
      <w:r w:rsidRPr="00B0567A">
        <w:rPr>
          <w:rFonts w:ascii="Times New Roman" w:hAnsi="Times New Roman" w:cs="Times New Roman"/>
        </w:rPr>
        <w:t>należy uwzględnić sytuację dzieci niepełnosprawnych oraz dzieci ze specjalnymi potrzebami edukacyjnymi. Politykę sporządza się, mając na względzie konieczność ich zrozumienia przez osoby małoletnie.</w:t>
      </w:r>
    </w:p>
    <w:p w14:paraId="58371373" w14:textId="77777777" w:rsidR="00CA2EBF" w:rsidRPr="00B0567A" w:rsidRDefault="00CA2EBF" w:rsidP="003E505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E94B21" w14:textId="38B81DB3" w:rsidR="003E505F" w:rsidRPr="00B0567A" w:rsidRDefault="003E505F" w:rsidP="003E505F">
      <w:pPr>
        <w:pStyle w:val="Nagwek2"/>
        <w:jc w:val="both"/>
        <w:rPr>
          <w:rFonts w:ascii="Times New Roman" w:hAnsi="Times New Roman" w:cs="Times New Roman"/>
          <w:b/>
          <w:bCs/>
        </w:rPr>
      </w:pPr>
      <w:r w:rsidRPr="00B0567A">
        <w:rPr>
          <w:rFonts w:ascii="Times New Roman" w:hAnsi="Times New Roman" w:cs="Times New Roman"/>
          <w:b/>
          <w:bCs/>
        </w:rPr>
        <w:t>Obowiązkowa ocena stosowania Polityki ochrony dzieci przed krzywdzeniem</w:t>
      </w:r>
    </w:p>
    <w:p w14:paraId="6FBB5662" w14:textId="5C9F1ACD" w:rsidR="003E505F" w:rsidRPr="00B0567A" w:rsidRDefault="003E505F" w:rsidP="003E50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 xml:space="preserve">Wszystkie </w:t>
      </w:r>
      <w:r w:rsidR="00FD009B" w:rsidRPr="00B0567A">
        <w:rPr>
          <w:rFonts w:ascii="Times New Roman" w:hAnsi="Times New Roman" w:cs="Times New Roman"/>
        </w:rPr>
        <w:t xml:space="preserve">podmioty </w:t>
      </w:r>
      <w:r w:rsidRPr="00B0567A">
        <w:rPr>
          <w:rFonts w:ascii="Times New Roman" w:hAnsi="Times New Roman" w:cs="Times New Roman"/>
        </w:rPr>
        <w:t>zobowiązane do wprowadzenia standardów ochrony małoletnich mają dodatkowy obowiązek</w:t>
      </w:r>
      <w:bookmarkStart w:id="0" w:name="_Hlk170903910"/>
      <w:r w:rsidRPr="00B0567A">
        <w:rPr>
          <w:rFonts w:ascii="Times New Roman" w:hAnsi="Times New Roman" w:cs="Times New Roman"/>
        </w:rPr>
        <w:t xml:space="preserve">, </w:t>
      </w:r>
      <w:r w:rsidR="00FD009B" w:rsidRPr="00B0567A">
        <w:rPr>
          <w:rFonts w:ascii="Times New Roman" w:hAnsi="Times New Roman" w:cs="Times New Roman"/>
        </w:rPr>
        <w:t xml:space="preserve">tj. </w:t>
      </w:r>
      <w:r w:rsidRPr="00B0567A">
        <w:rPr>
          <w:rFonts w:ascii="Times New Roman" w:hAnsi="Times New Roman" w:cs="Times New Roman"/>
        </w:rPr>
        <w:t xml:space="preserve">obowiązek </w:t>
      </w:r>
      <w:r w:rsidR="00FD009B" w:rsidRPr="00B0567A">
        <w:rPr>
          <w:rFonts w:ascii="Times New Roman" w:hAnsi="Times New Roman" w:cs="Times New Roman"/>
        </w:rPr>
        <w:t xml:space="preserve">dokonywania </w:t>
      </w:r>
      <w:r w:rsidRPr="00B0567A">
        <w:rPr>
          <w:rFonts w:ascii="Times New Roman" w:hAnsi="Times New Roman" w:cs="Times New Roman"/>
        </w:rPr>
        <w:t xml:space="preserve">co najmniej raz na dwa lata oceny </w:t>
      </w:r>
      <w:bookmarkEnd w:id="0"/>
      <w:r w:rsidRPr="00B0567A">
        <w:rPr>
          <w:rFonts w:ascii="Times New Roman" w:hAnsi="Times New Roman" w:cs="Times New Roman"/>
        </w:rPr>
        <w:t>wprowadzonej Polityki ochrony dzieci przed krzywdzeniem w celu zapewnienia jej dostosowania do aktualnych potrzeb oraz zapewnienia jej zgodności z obowiązującymi przepisami. Obowiązkiem jest także pisemne udokumentowanie wniosków z</w:t>
      </w:r>
      <w:r w:rsidR="00FD009B" w:rsidRPr="00B0567A">
        <w:rPr>
          <w:rFonts w:ascii="Times New Roman" w:hAnsi="Times New Roman" w:cs="Times New Roman"/>
        </w:rPr>
        <w:t> </w:t>
      </w:r>
      <w:r w:rsidRPr="00B0567A">
        <w:rPr>
          <w:rFonts w:ascii="Times New Roman" w:hAnsi="Times New Roman" w:cs="Times New Roman"/>
        </w:rPr>
        <w:t>przeprowadzonej oceny.</w:t>
      </w:r>
    </w:p>
    <w:p w14:paraId="3DC62A98" w14:textId="77777777" w:rsidR="003E505F" w:rsidRPr="00B0567A" w:rsidRDefault="003E505F" w:rsidP="003E505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0EDE365" w14:textId="0A583485" w:rsidR="003E505F" w:rsidRPr="00B0567A" w:rsidRDefault="003E505F" w:rsidP="003E505F">
      <w:pPr>
        <w:pStyle w:val="Nagwek2"/>
        <w:rPr>
          <w:rFonts w:ascii="Times New Roman" w:hAnsi="Times New Roman" w:cs="Times New Roman"/>
          <w:b/>
          <w:bCs/>
        </w:rPr>
      </w:pPr>
      <w:r w:rsidRPr="00B0567A">
        <w:rPr>
          <w:rFonts w:ascii="Times New Roman" w:hAnsi="Times New Roman" w:cs="Times New Roman"/>
          <w:b/>
          <w:bCs/>
        </w:rPr>
        <w:t xml:space="preserve">Podanie do wiadomości treści Polityki Ochrony Małoletnich </w:t>
      </w:r>
    </w:p>
    <w:p w14:paraId="242B2986" w14:textId="5ED408E1" w:rsidR="003E505F" w:rsidRPr="00B0567A" w:rsidRDefault="003E505F" w:rsidP="003E50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Fonts w:ascii="Times New Roman" w:hAnsi="Times New Roman" w:cs="Times New Roman"/>
        </w:rPr>
        <w:t xml:space="preserve">Wszystkie </w:t>
      </w:r>
      <w:r w:rsidR="0041709E" w:rsidRPr="00B0567A">
        <w:rPr>
          <w:rFonts w:ascii="Times New Roman" w:hAnsi="Times New Roman" w:cs="Times New Roman"/>
        </w:rPr>
        <w:t xml:space="preserve">podmioty </w:t>
      </w:r>
      <w:r w:rsidRPr="00B0567A">
        <w:rPr>
          <w:rFonts w:ascii="Times New Roman" w:hAnsi="Times New Roman" w:cs="Times New Roman"/>
        </w:rPr>
        <w:t xml:space="preserve">zobowiązane do wprowadzenia standardów ochrony małoletnich  mają obowiązek udostępnienia przyjętej Polityki ochrony małoletnich przed krzywdzeniem, na swojej stronie internetowej oraz mają obowiązek wywieszenia dokumentacji w widocznym miejscu w swoim lokalu. </w:t>
      </w:r>
      <w:r w:rsidRPr="00B0567A">
        <w:rPr>
          <w:rFonts w:ascii="Times New Roman" w:hAnsi="Times New Roman" w:cs="Times New Roman"/>
          <w:b/>
          <w:bCs/>
        </w:rPr>
        <w:t>Uwaga</w:t>
      </w:r>
      <w:r w:rsidR="0041709E" w:rsidRPr="00B0567A">
        <w:rPr>
          <w:rFonts w:ascii="Times New Roman" w:hAnsi="Times New Roman" w:cs="Times New Roman"/>
        </w:rPr>
        <w:t xml:space="preserve">: </w:t>
      </w:r>
      <w:r w:rsidRPr="00B0567A">
        <w:rPr>
          <w:rFonts w:ascii="Times New Roman" w:hAnsi="Times New Roman" w:cs="Times New Roman"/>
        </w:rPr>
        <w:t xml:space="preserve">jednak obowiązek wywieszenia jest obowiązkiem, który odnosi się do pełnej treści Polityki ochrony małoletnich przed krzywdzeniem, jak i do jej wersji skróconej, czyli wersji, jaka przeznaczona jest dla małoletnich. Wersja skrócona zawiera informacje istotne dla małoletnich. Innymi słowy na podstawie wersji pełnej należy przygotować dodatkowo jej wersję skróconą, z uwzględnieniem tego, iż ma ona zawierać najistotniejsze informacje dla małoletnich. </w:t>
      </w:r>
    </w:p>
    <w:p w14:paraId="20A7AD21" w14:textId="77777777" w:rsidR="00B8087C" w:rsidRPr="00B0567A" w:rsidRDefault="00B8087C" w:rsidP="003E505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3C4DD9" w14:textId="0698155D" w:rsidR="00D708C5" w:rsidRPr="00B0567A" w:rsidRDefault="00A67C78" w:rsidP="00D708C5">
      <w:pPr>
        <w:pStyle w:val="Nagwek2"/>
        <w:rPr>
          <w:rFonts w:ascii="Times New Roman" w:hAnsi="Times New Roman" w:cs="Times New Roman"/>
          <w:b/>
          <w:bCs/>
        </w:rPr>
      </w:pPr>
      <w:r w:rsidRPr="00B0567A">
        <w:rPr>
          <w:rFonts w:ascii="Times New Roman" w:hAnsi="Times New Roman" w:cs="Times New Roman"/>
          <w:b/>
          <w:bCs/>
        </w:rPr>
        <w:t xml:space="preserve">Co grozi podmiotowi </w:t>
      </w:r>
      <w:r w:rsidR="00D708C5" w:rsidRPr="00B0567A">
        <w:rPr>
          <w:rFonts w:ascii="Times New Roman" w:hAnsi="Times New Roman" w:cs="Times New Roman"/>
          <w:b/>
          <w:bCs/>
        </w:rPr>
        <w:t>za niewdrożenie polityki</w:t>
      </w:r>
    </w:p>
    <w:p w14:paraId="31639CBE" w14:textId="6B444E3B" w:rsidR="00D708C5" w:rsidRPr="00B0567A" w:rsidRDefault="00D708C5" w:rsidP="001A7C85">
      <w:pPr>
        <w:jc w:val="both"/>
        <w:rPr>
          <w:rFonts w:ascii="Times New Roman" w:hAnsi="Times New Roman" w:cs="Times New Roman"/>
        </w:rPr>
      </w:pPr>
      <w:r w:rsidRPr="00B0567A">
        <w:rPr>
          <w:rStyle w:val="elementor-alert-description"/>
          <w:rFonts w:ascii="Times New Roman" w:hAnsi="Times New Roman" w:cs="Times New Roman"/>
        </w:rPr>
        <w:t xml:space="preserve">W przypadku kiedy osoba odpowiedzialna za wdrożenie uregulowań dotyczących ochrony małoletnich dzieci przed krzywdzeniem -  nie zrealizowała obowiązku wprowadzenia Standardów Ochrony Małoletnich - podlega ona karze grzywny w wysokości do </w:t>
      </w:r>
      <w:r w:rsidRPr="00B0567A">
        <w:rPr>
          <w:rStyle w:val="elementor-alert-description"/>
          <w:rFonts w:ascii="Times New Roman" w:hAnsi="Times New Roman" w:cs="Times New Roman"/>
          <w:b/>
          <w:bCs/>
        </w:rPr>
        <w:t>250 zł</w:t>
      </w:r>
      <w:r w:rsidRPr="00B0567A">
        <w:rPr>
          <w:rStyle w:val="elementor-alert-description"/>
          <w:rFonts w:ascii="Times New Roman" w:hAnsi="Times New Roman" w:cs="Times New Roman"/>
        </w:rPr>
        <w:t xml:space="preserve"> albo podlega ona karze nagany.</w:t>
      </w:r>
      <w:r w:rsidRPr="00B0567A">
        <w:rPr>
          <w:rStyle w:val="Odwoanieprzypisudolnego"/>
          <w:rFonts w:ascii="Times New Roman" w:hAnsi="Times New Roman" w:cs="Times New Roman"/>
        </w:rPr>
        <w:footnoteReference w:id="2"/>
      </w:r>
      <w:r w:rsidRPr="00B0567A">
        <w:rPr>
          <w:rFonts w:ascii="Times New Roman" w:hAnsi="Times New Roman" w:cs="Times New Roman"/>
        </w:rPr>
        <w:t xml:space="preserve"> </w:t>
      </w:r>
    </w:p>
    <w:p w14:paraId="39D66529" w14:textId="5FF23B04" w:rsidR="00D708C5" w:rsidRPr="00B0567A" w:rsidRDefault="00D708C5" w:rsidP="001A7C85">
      <w:pPr>
        <w:jc w:val="both"/>
        <w:rPr>
          <w:rFonts w:ascii="Times New Roman" w:hAnsi="Times New Roman" w:cs="Times New Roman"/>
        </w:rPr>
      </w:pPr>
      <w:r w:rsidRPr="00B0567A">
        <w:rPr>
          <w:rStyle w:val="elementor-alert-title"/>
          <w:rFonts w:ascii="Times New Roman" w:hAnsi="Times New Roman" w:cs="Times New Roman"/>
        </w:rPr>
        <w:t xml:space="preserve">Uwaga jednak w przypadku, nałożenia kary w związku z ponownym stwierdzeniem niewykonania obowiązku wprowadzenia standardów przez osobę odpowiedzialną za ich wdrożenie - </w:t>
      </w:r>
      <w:r w:rsidRPr="00B0567A">
        <w:rPr>
          <w:rStyle w:val="elementor-alert-description"/>
          <w:rFonts w:ascii="Times New Roman" w:hAnsi="Times New Roman" w:cs="Times New Roman"/>
        </w:rPr>
        <w:t xml:space="preserve">wówczas podlega ona karze grzywny w wysokości już do </w:t>
      </w:r>
      <w:r w:rsidRPr="00B0567A">
        <w:rPr>
          <w:rStyle w:val="elementor-alert-description"/>
          <w:rFonts w:ascii="Times New Roman" w:hAnsi="Times New Roman" w:cs="Times New Roman"/>
          <w:b/>
          <w:bCs/>
        </w:rPr>
        <w:t>1000 zł.</w:t>
      </w:r>
      <w:r w:rsidRPr="00B0567A">
        <w:rPr>
          <w:rStyle w:val="Odwoanieprzypisudolnego"/>
          <w:rFonts w:ascii="Times New Roman" w:hAnsi="Times New Roman" w:cs="Times New Roman"/>
        </w:rPr>
        <w:footnoteReference w:id="3"/>
      </w:r>
      <w:r w:rsidRPr="00B0567A">
        <w:rPr>
          <w:rFonts w:ascii="Times New Roman" w:hAnsi="Times New Roman" w:cs="Times New Roman"/>
        </w:rPr>
        <w:t xml:space="preserve"> </w:t>
      </w:r>
    </w:p>
    <w:p w14:paraId="0ADB02D1" w14:textId="1F7B5585" w:rsidR="00D708C5" w:rsidRPr="00B0567A" w:rsidRDefault="001A7C85" w:rsidP="003E50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567A">
        <w:rPr>
          <w:rStyle w:val="elementor-alert-description"/>
          <w:rFonts w:ascii="Times New Roman" w:hAnsi="Times New Roman" w:cs="Times New Roman"/>
        </w:rPr>
        <w:t>Dodatkowo należy pamiętać, iż w</w:t>
      </w:r>
      <w:r w:rsidR="00D708C5" w:rsidRPr="00B0567A">
        <w:rPr>
          <w:rStyle w:val="elementor-alert-description"/>
          <w:rFonts w:ascii="Times New Roman" w:hAnsi="Times New Roman" w:cs="Times New Roman"/>
        </w:rPr>
        <w:t xml:space="preserve"> przypadku kiedy osoba odpowiedzialna za wprowadzenie standardów ochrony małoletnich swojego obowiązku nie zrealizowała, i ponownie doszło do stwierdzenia niewykonania takiego obowiązku</w:t>
      </w:r>
      <w:r w:rsidRPr="00B0567A">
        <w:rPr>
          <w:rStyle w:val="elementor-alert-description"/>
          <w:rFonts w:ascii="Times New Roman" w:hAnsi="Times New Roman" w:cs="Times New Roman"/>
        </w:rPr>
        <w:t>,</w:t>
      </w:r>
      <w:r w:rsidR="00D708C5" w:rsidRPr="00B0567A">
        <w:rPr>
          <w:rStyle w:val="elementor-alert-description"/>
          <w:rFonts w:ascii="Times New Roman" w:hAnsi="Times New Roman" w:cs="Times New Roman"/>
        </w:rPr>
        <w:t xml:space="preserve"> wówczas podlega ona karze grzywny już do </w:t>
      </w:r>
      <w:r w:rsidR="00D708C5" w:rsidRPr="00B0567A">
        <w:rPr>
          <w:rStyle w:val="elementor-alert-description"/>
          <w:rFonts w:ascii="Times New Roman" w:hAnsi="Times New Roman" w:cs="Times New Roman"/>
          <w:b/>
          <w:bCs/>
        </w:rPr>
        <w:t>1.000 zł</w:t>
      </w:r>
      <w:r w:rsidR="00D708C5" w:rsidRPr="00B0567A">
        <w:rPr>
          <w:rStyle w:val="elementor-alert-description"/>
          <w:rFonts w:ascii="Times New Roman" w:hAnsi="Times New Roman" w:cs="Times New Roman"/>
        </w:rPr>
        <w:t xml:space="preserve">, ale jednocześnie Sąd obok kary grzywny orzeka środek karny w postaci świadczenia pieniężnego na rzecz Funduszu Pomocy Pokrzywdzonym oraz Pomocy Postpenitencjarnej. Wysokość tego świadczenia nie może przekroczyć </w:t>
      </w:r>
      <w:r w:rsidR="00D708C5" w:rsidRPr="00B0567A">
        <w:rPr>
          <w:rStyle w:val="elementor-alert-description"/>
          <w:rFonts w:ascii="Times New Roman" w:hAnsi="Times New Roman" w:cs="Times New Roman"/>
          <w:b/>
          <w:bCs/>
        </w:rPr>
        <w:t>10.000 zł.</w:t>
      </w:r>
      <w:r w:rsidR="00D708C5" w:rsidRPr="00B0567A">
        <w:rPr>
          <w:rFonts w:ascii="Times New Roman" w:hAnsi="Times New Roman" w:cs="Times New Roman"/>
        </w:rPr>
        <w:t xml:space="preserve"> </w:t>
      </w:r>
      <w:r w:rsidRPr="00B0567A">
        <w:rPr>
          <w:rStyle w:val="Odwoanieprzypisudolnego"/>
          <w:rFonts w:ascii="Times New Roman" w:hAnsi="Times New Roman" w:cs="Times New Roman"/>
        </w:rPr>
        <w:footnoteReference w:id="4"/>
      </w:r>
    </w:p>
    <w:sectPr w:rsidR="00D708C5" w:rsidRPr="00B0567A" w:rsidSect="00C631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202EA" w14:textId="77777777" w:rsidR="0005580B" w:rsidRDefault="0005580B" w:rsidP="003E505F">
      <w:pPr>
        <w:spacing w:after="0" w:line="240" w:lineRule="auto"/>
      </w:pPr>
      <w:r>
        <w:separator/>
      </w:r>
    </w:p>
  </w:endnote>
  <w:endnote w:type="continuationSeparator" w:id="0">
    <w:p w14:paraId="19CF0FF1" w14:textId="77777777" w:rsidR="0005580B" w:rsidRDefault="0005580B" w:rsidP="003E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F3212" w14:textId="77777777" w:rsidR="00453C4C" w:rsidRDefault="00453C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0090083"/>
      <w:docPartObj>
        <w:docPartGallery w:val="Page Numbers (Bottom of Page)"/>
        <w:docPartUnique/>
      </w:docPartObj>
    </w:sdtPr>
    <w:sdtEndPr/>
    <w:sdtContent>
      <w:p w14:paraId="0CFC3C3E" w14:textId="3E0CAB8A" w:rsidR="00453C4C" w:rsidRDefault="00453C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5F346" w14:textId="77777777" w:rsidR="00453C4C" w:rsidRDefault="00453C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2D0AC" w14:textId="77777777" w:rsidR="00453C4C" w:rsidRDefault="00453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57B70" w14:textId="77777777" w:rsidR="0005580B" w:rsidRDefault="0005580B" w:rsidP="003E505F">
      <w:pPr>
        <w:spacing w:after="0" w:line="240" w:lineRule="auto"/>
      </w:pPr>
      <w:r>
        <w:separator/>
      </w:r>
    </w:p>
  </w:footnote>
  <w:footnote w:type="continuationSeparator" w:id="0">
    <w:p w14:paraId="5170F0FF" w14:textId="77777777" w:rsidR="0005580B" w:rsidRDefault="0005580B" w:rsidP="003E505F">
      <w:pPr>
        <w:spacing w:after="0" w:line="240" w:lineRule="auto"/>
      </w:pPr>
      <w:r>
        <w:continuationSeparator/>
      </w:r>
    </w:p>
  </w:footnote>
  <w:footnote w:id="1">
    <w:p w14:paraId="2DBE4474" w14:textId="77777777" w:rsidR="003E505F" w:rsidRPr="00D708C5" w:rsidRDefault="003E505F" w:rsidP="001A7C85">
      <w:pPr>
        <w:pStyle w:val="Nagwek2"/>
        <w:spacing w:before="0" w:line="240" w:lineRule="auto"/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D708C5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D708C5">
        <w:rPr>
          <w:rFonts w:asciiTheme="minorHAnsi" w:hAnsiTheme="minorHAnsi" w:cstheme="minorHAnsi"/>
          <w:sz w:val="14"/>
          <w:szCs w:val="14"/>
        </w:rPr>
        <w:t xml:space="preserve"> </w:t>
      </w:r>
      <w:r w:rsidRPr="00D708C5">
        <w:rPr>
          <w:rFonts w:asciiTheme="minorHAnsi" w:hAnsiTheme="minorHAnsi" w:cstheme="minorHAnsi"/>
          <w:b/>
          <w:bCs/>
          <w:sz w:val="14"/>
          <w:szCs w:val="14"/>
        </w:rPr>
        <w:t>Standardy Ochrony Małoletnich – w usługach hotelarskich</w:t>
      </w:r>
    </w:p>
    <w:p w14:paraId="7754D947" w14:textId="77777777" w:rsidR="003E505F" w:rsidRPr="00D708C5" w:rsidRDefault="003E505F" w:rsidP="001A7C85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0D20600C" w14:textId="77777777" w:rsidR="003E505F" w:rsidRPr="00D708C5" w:rsidRDefault="003E505F" w:rsidP="001A7C85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D708C5">
        <w:rPr>
          <w:rFonts w:cstheme="minorHAnsi"/>
          <w:sz w:val="14"/>
          <w:szCs w:val="14"/>
        </w:rPr>
        <w:t xml:space="preserve">Obowiązek wprowadzenia standardów ochrony małoletnich mają także podmioty świadczące usługi hotelarskie oraz turystyczne, a także prowadzące inne miejsca zakwaterowania zbiorowego, w zakresie niezbędnym do zapewnienia ochrony małoletnich. </w:t>
      </w:r>
    </w:p>
    <w:p w14:paraId="2E116B86" w14:textId="77777777" w:rsidR="003E505F" w:rsidRPr="00D708C5" w:rsidRDefault="003E505F" w:rsidP="001A7C85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6D56D23D" w14:textId="77777777" w:rsidR="003E505F" w:rsidRPr="00D708C5" w:rsidRDefault="003E505F" w:rsidP="001A7C85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D708C5">
        <w:rPr>
          <w:rFonts w:cstheme="minorHAnsi"/>
          <w:sz w:val="14"/>
          <w:szCs w:val="14"/>
        </w:rPr>
        <w:t>Standardy, w sposób dostosowany do charakteru i rodzaju prowadzonych usług, określają w szczególności:</w:t>
      </w:r>
    </w:p>
    <w:p w14:paraId="36CC50D7" w14:textId="77777777" w:rsidR="003E505F" w:rsidRPr="00D708C5" w:rsidRDefault="003E505F" w:rsidP="001A7C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14"/>
          <w:szCs w:val="14"/>
        </w:rPr>
      </w:pPr>
      <w:r w:rsidRPr="00D708C5">
        <w:rPr>
          <w:rFonts w:cstheme="minorHAnsi"/>
          <w:sz w:val="14"/>
          <w:szCs w:val="14"/>
        </w:rPr>
        <w:t>zasady zapewniające bezpieczne relacje między personelem podmiotu a małoletnim, a w szczególności zachowania niedozwolone wobec małoletnich;</w:t>
      </w:r>
    </w:p>
    <w:p w14:paraId="57462A7C" w14:textId="77777777" w:rsidR="003E505F" w:rsidRPr="00D708C5" w:rsidRDefault="003E505F" w:rsidP="001A7C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14"/>
          <w:szCs w:val="14"/>
        </w:rPr>
      </w:pPr>
      <w:r w:rsidRPr="00D708C5">
        <w:rPr>
          <w:rFonts w:cstheme="minorHAnsi"/>
          <w:sz w:val="14"/>
          <w:szCs w:val="14"/>
        </w:rPr>
        <w:t>zasady i procedury identyfikacji małoletniego przebywającego w obiekcie hotelarskim i jego relacji w stosunku do osoby dorosłej, z którą przebywa w tym obiekcie;</w:t>
      </w:r>
    </w:p>
    <w:p w14:paraId="39D8C3D8" w14:textId="77777777" w:rsidR="003E505F" w:rsidRPr="00D708C5" w:rsidRDefault="003E505F" w:rsidP="001A7C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14"/>
          <w:szCs w:val="14"/>
        </w:rPr>
      </w:pPr>
      <w:r w:rsidRPr="00D708C5">
        <w:rPr>
          <w:rFonts w:cstheme="minorHAnsi"/>
          <w:sz w:val="14"/>
          <w:szCs w:val="14"/>
        </w:rPr>
        <w:t>zasady i procedury reagowania w przypadku uzasadnionego przypuszczenia, że dobro małoletniego znajdującego się na terenie obiektu hotelarskiego lub korzystającego z usług turystycznych jest zagrożone;</w:t>
      </w:r>
    </w:p>
    <w:p w14:paraId="4BDE056B" w14:textId="77777777" w:rsidR="003E505F" w:rsidRPr="00D708C5" w:rsidRDefault="003E505F" w:rsidP="001A7C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14"/>
          <w:szCs w:val="14"/>
        </w:rPr>
      </w:pPr>
      <w:r w:rsidRPr="00D708C5">
        <w:rPr>
          <w:rFonts w:cstheme="minorHAnsi"/>
          <w:sz w:val="14"/>
          <w:szCs w:val="14"/>
        </w:rPr>
        <w:t>procedury i osoby odpowiedzialne za składanie zawiadomień o podejrzeniu popełnienia przestępstwa na szkodę małoletniego oraz zawiadamianie sądu opiekuńczego;</w:t>
      </w:r>
    </w:p>
    <w:p w14:paraId="1F82AC72" w14:textId="77777777" w:rsidR="003E505F" w:rsidRPr="00D708C5" w:rsidRDefault="003E505F" w:rsidP="001A7C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14"/>
          <w:szCs w:val="14"/>
        </w:rPr>
      </w:pPr>
      <w:r w:rsidRPr="00D708C5">
        <w:rPr>
          <w:rFonts w:cstheme="minorHAnsi"/>
          <w:sz w:val="14"/>
          <w:szCs w:val="14"/>
        </w:rPr>
        <w:t>zakres kompetencji osoby odpowiedzialnej za przygotowanie personelu podmiotu do stosowania standardów, zasady przygotowania tego personelu do ich stosowania oraz sposób dokumentowania tej czynności.</w:t>
      </w:r>
    </w:p>
    <w:p w14:paraId="16E8AB68" w14:textId="731E4B55" w:rsidR="003E505F" w:rsidRPr="00D708C5" w:rsidRDefault="003E505F" w:rsidP="001A7C85">
      <w:pPr>
        <w:pStyle w:val="Tekstprzypisudolnego"/>
        <w:jc w:val="both"/>
        <w:rPr>
          <w:rFonts w:cstheme="minorHAnsi"/>
          <w:sz w:val="14"/>
          <w:szCs w:val="14"/>
        </w:rPr>
      </w:pPr>
    </w:p>
  </w:footnote>
  <w:footnote w:id="2">
    <w:p w14:paraId="367A30EF" w14:textId="2503A8BE" w:rsidR="00D708C5" w:rsidRPr="00B0567A" w:rsidRDefault="00D708C5" w:rsidP="001A7C85">
      <w:pPr>
        <w:pStyle w:val="text-justify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A7C85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A7C85">
        <w:rPr>
          <w:rFonts w:asciiTheme="minorHAnsi" w:hAnsiTheme="minorHAnsi" w:cstheme="minorHAnsi"/>
          <w:sz w:val="14"/>
          <w:szCs w:val="14"/>
        </w:rPr>
        <w:t xml:space="preserve"> 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 xml:space="preserve">Zgodnie z </w:t>
      </w:r>
      <w:r w:rsidRPr="001A7C85">
        <w:rPr>
          <w:rStyle w:val="Pogrubienie"/>
          <w:rFonts w:asciiTheme="minorHAnsi" w:hAnsiTheme="minorHAnsi" w:cstheme="minorHAnsi"/>
          <w:color w:val="000000"/>
          <w:sz w:val="14"/>
          <w:szCs w:val="14"/>
        </w:rPr>
        <w:t>art. 23b ust. 1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  <w:r w:rsidR="0041709E">
        <w:rPr>
          <w:rFonts w:asciiTheme="minorHAnsi" w:hAnsiTheme="minorHAnsi" w:cstheme="minorHAnsi"/>
          <w:color w:val="000000"/>
          <w:sz w:val="14"/>
          <w:szCs w:val="14"/>
        </w:rPr>
        <w:t>u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>staw</w:t>
      </w:r>
      <w:r w:rsidR="0041709E">
        <w:rPr>
          <w:rFonts w:asciiTheme="minorHAnsi" w:hAnsiTheme="minorHAnsi" w:cstheme="minorHAnsi"/>
          <w:color w:val="000000"/>
          <w:sz w:val="14"/>
          <w:szCs w:val="14"/>
        </w:rPr>
        <w:t>y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 xml:space="preserve"> z dnia 13 maja 2016 r. o przeciwdziałaniu zagrożeniom przestępczością na tle seksualnym </w:t>
      </w:r>
      <w:r w:rsidRPr="00B0567A">
        <w:rPr>
          <w:rFonts w:asciiTheme="minorHAnsi" w:hAnsiTheme="minorHAnsi" w:cstheme="minorHAnsi"/>
          <w:i/>
          <w:iCs/>
          <w:color w:val="000000"/>
          <w:sz w:val="14"/>
          <w:szCs w:val="14"/>
        </w:rPr>
        <w:t>„Kto, będąc obowiązanym do wprowadzenia standardów ochrony małoletnich nie wykonuje tego obowiązku, – podlega karze grzywny do 250 zł albo karze nagany.”</w:t>
      </w:r>
    </w:p>
  </w:footnote>
  <w:footnote w:id="3">
    <w:p w14:paraId="16CC76A6" w14:textId="309AE323" w:rsidR="00D708C5" w:rsidRPr="00B0567A" w:rsidRDefault="00D708C5" w:rsidP="001A7C85">
      <w:pPr>
        <w:pStyle w:val="text-justify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A7C85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A7C85">
        <w:rPr>
          <w:rFonts w:asciiTheme="minorHAnsi" w:hAnsiTheme="minorHAnsi" w:cstheme="minorHAnsi"/>
          <w:sz w:val="14"/>
          <w:szCs w:val="14"/>
        </w:rPr>
        <w:t xml:space="preserve"> 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 xml:space="preserve">Zgodnie z </w:t>
      </w:r>
      <w:r w:rsidRPr="001A7C85">
        <w:rPr>
          <w:rStyle w:val="Pogrubienie"/>
          <w:rFonts w:asciiTheme="minorHAnsi" w:hAnsiTheme="minorHAnsi" w:cstheme="minorHAnsi"/>
          <w:color w:val="000000"/>
          <w:sz w:val="14"/>
          <w:szCs w:val="14"/>
        </w:rPr>
        <w:t>art. 23b ust. 2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  <w:r w:rsidR="0041709E">
        <w:rPr>
          <w:rFonts w:asciiTheme="minorHAnsi" w:hAnsiTheme="minorHAnsi" w:cstheme="minorHAnsi"/>
          <w:color w:val="000000"/>
          <w:sz w:val="14"/>
          <w:szCs w:val="14"/>
        </w:rPr>
        <w:t>u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>staw</w:t>
      </w:r>
      <w:r w:rsidR="0041709E">
        <w:rPr>
          <w:rFonts w:asciiTheme="minorHAnsi" w:hAnsiTheme="minorHAnsi" w:cstheme="minorHAnsi"/>
          <w:color w:val="000000"/>
          <w:sz w:val="14"/>
          <w:szCs w:val="14"/>
        </w:rPr>
        <w:t xml:space="preserve">y 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 xml:space="preserve">z dnia 13 maja 2016 r. o przeciwdziałaniu zagrożeniom przestępczością na tle seksualnym </w:t>
      </w:r>
      <w:r w:rsidRPr="00B0567A">
        <w:rPr>
          <w:rFonts w:asciiTheme="minorHAnsi" w:hAnsiTheme="minorHAnsi" w:cstheme="minorHAnsi"/>
          <w:i/>
          <w:iCs/>
          <w:color w:val="000000"/>
          <w:sz w:val="14"/>
          <w:szCs w:val="14"/>
        </w:rPr>
        <w:t>„W razie ponownego stwierdzenia niewykonania obowiązku wprowadzenia standardów ochrony małoletnich, sprawca, – podlega karze grzywny nie niższej niż 1000 zł.”</w:t>
      </w:r>
    </w:p>
  </w:footnote>
  <w:footnote w:id="4">
    <w:p w14:paraId="1B0D0E79" w14:textId="0135C3BA" w:rsidR="001A7C85" w:rsidRPr="00B0567A" w:rsidRDefault="001A7C85" w:rsidP="001A7C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A7C85">
        <w:rPr>
          <w:rStyle w:val="Odwoanieprzypisudolnego"/>
          <w:sz w:val="14"/>
          <w:szCs w:val="14"/>
        </w:rPr>
        <w:footnoteRef/>
      </w:r>
      <w:r w:rsidRPr="001A7C85">
        <w:rPr>
          <w:sz w:val="14"/>
          <w:szCs w:val="14"/>
        </w:rPr>
        <w:t xml:space="preserve"> 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 xml:space="preserve">Zgodnie z </w:t>
      </w:r>
      <w:r w:rsidRPr="001A7C85">
        <w:rPr>
          <w:rStyle w:val="Pogrubienie"/>
          <w:rFonts w:asciiTheme="minorHAnsi" w:hAnsiTheme="minorHAnsi" w:cstheme="minorHAnsi"/>
          <w:color w:val="000000"/>
          <w:sz w:val="14"/>
          <w:szCs w:val="14"/>
        </w:rPr>
        <w:t>art. 24a ust. 2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  <w:r w:rsidR="0041709E">
        <w:rPr>
          <w:rFonts w:asciiTheme="minorHAnsi" w:hAnsiTheme="minorHAnsi" w:cstheme="minorHAnsi"/>
          <w:color w:val="000000"/>
          <w:sz w:val="14"/>
          <w:szCs w:val="14"/>
        </w:rPr>
        <w:t>u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>staw</w:t>
      </w:r>
      <w:r w:rsidR="0041709E">
        <w:rPr>
          <w:rFonts w:asciiTheme="minorHAnsi" w:hAnsiTheme="minorHAnsi" w:cstheme="minorHAnsi"/>
          <w:color w:val="000000"/>
          <w:sz w:val="14"/>
          <w:szCs w:val="14"/>
        </w:rPr>
        <w:t xml:space="preserve">y </w:t>
      </w:r>
      <w:r w:rsidRPr="001A7C85">
        <w:rPr>
          <w:rFonts w:asciiTheme="minorHAnsi" w:hAnsiTheme="minorHAnsi" w:cstheme="minorHAnsi"/>
          <w:color w:val="000000"/>
          <w:sz w:val="14"/>
          <w:szCs w:val="14"/>
        </w:rPr>
        <w:t>z dnia 13 maja 2016 r. o przeciwdziałaniu zagrożeniom przestępczością na tle seksualnym „</w:t>
      </w:r>
      <w:r w:rsidRPr="00B0567A">
        <w:rPr>
          <w:rFonts w:asciiTheme="minorHAnsi" w:hAnsiTheme="minorHAnsi" w:cstheme="minorHAnsi"/>
          <w:i/>
          <w:iCs/>
          <w:color w:val="000000"/>
          <w:sz w:val="14"/>
          <w:szCs w:val="14"/>
        </w:rPr>
        <w:t>W razie ukarania za wykroczenie, o którym mowa w art. 23 ust. 2, art. 23a i art. 23b ust. 2, sąd orzeka środek karny w postaci świadczenia pieniężnego na rzecz Funduszu Pomocy Pokrzywdzonym oraz Pomocy Postpenitencjarnej. Wysokość tego świadczenia nie może przekroczyć 10 000 zł.”</w:t>
      </w:r>
    </w:p>
    <w:p w14:paraId="57CD8E36" w14:textId="5EF0EFDA" w:rsidR="001A7C85" w:rsidRDefault="001A7C8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88C8" w14:textId="77777777" w:rsidR="00453C4C" w:rsidRDefault="00453C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CAFB0" w14:textId="77777777" w:rsidR="00453C4C" w:rsidRDefault="00453C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9E71" w14:textId="77777777" w:rsidR="00453C4C" w:rsidRDefault="00453C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76E3"/>
    <w:multiLevelType w:val="hybridMultilevel"/>
    <w:tmpl w:val="877AFAF6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F89367E"/>
    <w:multiLevelType w:val="hybridMultilevel"/>
    <w:tmpl w:val="89B09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65765"/>
    <w:multiLevelType w:val="hybridMultilevel"/>
    <w:tmpl w:val="1810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E3318"/>
    <w:multiLevelType w:val="hybridMultilevel"/>
    <w:tmpl w:val="BA060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54961"/>
    <w:multiLevelType w:val="hybridMultilevel"/>
    <w:tmpl w:val="7FA44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1783B"/>
    <w:multiLevelType w:val="hybridMultilevel"/>
    <w:tmpl w:val="F93AE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2547"/>
    <w:multiLevelType w:val="hybridMultilevel"/>
    <w:tmpl w:val="BE8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6719F"/>
    <w:multiLevelType w:val="hybridMultilevel"/>
    <w:tmpl w:val="76504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E1F5F"/>
    <w:multiLevelType w:val="hybridMultilevel"/>
    <w:tmpl w:val="72489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0FE1"/>
    <w:multiLevelType w:val="hybridMultilevel"/>
    <w:tmpl w:val="DB7CA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4228">
    <w:abstractNumId w:val="8"/>
  </w:num>
  <w:num w:numId="2" w16cid:durableId="950210578">
    <w:abstractNumId w:val="4"/>
  </w:num>
  <w:num w:numId="3" w16cid:durableId="484396642">
    <w:abstractNumId w:val="7"/>
  </w:num>
  <w:num w:numId="4" w16cid:durableId="1558083378">
    <w:abstractNumId w:val="0"/>
  </w:num>
  <w:num w:numId="5" w16cid:durableId="1937714388">
    <w:abstractNumId w:val="3"/>
  </w:num>
  <w:num w:numId="6" w16cid:durableId="1648780643">
    <w:abstractNumId w:val="1"/>
  </w:num>
  <w:num w:numId="7" w16cid:durableId="536042131">
    <w:abstractNumId w:val="6"/>
  </w:num>
  <w:num w:numId="8" w16cid:durableId="884802110">
    <w:abstractNumId w:val="5"/>
  </w:num>
  <w:num w:numId="9" w16cid:durableId="1573470475">
    <w:abstractNumId w:val="2"/>
  </w:num>
  <w:num w:numId="10" w16cid:durableId="147677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98A"/>
    <w:rsid w:val="000335D6"/>
    <w:rsid w:val="0005580B"/>
    <w:rsid w:val="00090B00"/>
    <w:rsid w:val="000A22AD"/>
    <w:rsid w:val="00125732"/>
    <w:rsid w:val="00131AAB"/>
    <w:rsid w:val="0014120B"/>
    <w:rsid w:val="00151409"/>
    <w:rsid w:val="001A7C85"/>
    <w:rsid w:val="00242520"/>
    <w:rsid w:val="0029730F"/>
    <w:rsid w:val="003A3782"/>
    <w:rsid w:val="003E505F"/>
    <w:rsid w:val="0041709E"/>
    <w:rsid w:val="00422266"/>
    <w:rsid w:val="0043403B"/>
    <w:rsid w:val="0043413B"/>
    <w:rsid w:val="004442E8"/>
    <w:rsid w:val="00453C4C"/>
    <w:rsid w:val="00475F1C"/>
    <w:rsid w:val="00564FF2"/>
    <w:rsid w:val="005D2F2E"/>
    <w:rsid w:val="0066764F"/>
    <w:rsid w:val="00730F28"/>
    <w:rsid w:val="007D0C57"/>
    <w:rsid w:val="009427BF"/>
    <w:rsid w:val="009A6986"/>
    <w:rsid w:val="00A67C78"/>
    <w:rsid w:val="00A9038B"/>
    <w:rsid w:val="00B0567A"/>
    <w:rsid w:val="00B07A7F"/>
    <w:rsid w:val="00B523FE"/>
    <w:rsid w:val="00B8087C"/>
    <w:rsid w:val="00BD382C"/>
    <w:rsid w:val="00BD4E79"/>
    <w:rsid w:val="00BE7B92"/>
    <w:rsid w:val="00C6319A"/>
    <w:rsid w:val="00C65AEB"/>
    <w:rsid w:val="00CA2EBF"/>
    <w:rsid w:val="00CB4DAD"/>
    <w:rsid w:val="00CC5D79"/>
    <w:rsid w:val="00D708C5"/>
    <w:rsid w:val="00D8798A"/>
    <w:rsid w:val="00DA7A1F"/>
    <w:rsid w:val="00E249CE"/>
    <w:rsid w:val="00E731F9"/>
    <w:rsid w:val="00F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1738"/>
  <w15:chartTrackingRefBased/>
  <w15:docId w15:val="{E19C6D7E-58C8-4C85-851E-6EEA9C86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7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08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8798A"/>
    <w:rPr>
      <w:i/>
      <w:iCs/>
      <w:color w:val="4472C4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798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798A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CC5D7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A37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0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0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0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08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lementor-alert-title">
    <w:name w:val="elementor-alert-title"/>
    <w:basedOn w:val="Domylnaczcionkaakapitu"/>
    <w:rsid w:val="00D708C5"/>
  </w:style>
  <w:style w:type="character" w:customStyle="1" w:styleId="elementor-alert-description">
    <w:name w:val="elementor-alert-description"/>
    <w:basedOn w:val="Domylnaczcionkaakapitu"/>
    <w:rsid w:val="00D708C5"/>
  </w:style>
  <w:style w:type="paragraph" w:customStyle="1" w:styleId="text-justify">
    <w:name w:val="text-justify"/>
    <w:basedOn w:val="Normalny"/>
    <w:rsid w:val="00D7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708C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7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B523F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00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0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0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0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09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5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C4C"/>
  </w:style>
  <w:style w:type="paragraph" w:styleId="Stopka">
    <w:name w:val="footer"/>
    <w:basedOn w:val="Normalny"/>
    <w:link w:val="StopkaZnak"/>
    <w:uiPriority w:val="99"/>
    <w:unhideWhenUsed/>
    <w:rsid w:val="0045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5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1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0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1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8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5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0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8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6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6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28E2-688C-45FF-BE68-E6E6B02B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 Wasyl</cp:lastModifiedBy>
  <cp:revision>2</cp:revision>
  <dcterms:created xsi:type="dcterms:W3CDTF">2024-09-13T13:09:00Z</dcterms:created>
  <dcterms:modified xsi:type="dcterms:W3CDTF">2024-09-13T13:09:00Z</dcterms:modified>
</cp:coreProperties>
</file>